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240" w:lineRule="auto"/>
        <w:jc w:val="both"/>
        <w:rPr>
          <w:color w:val="auto"/>
        </w:rPr>
      </w:pPr>
    </w:p>
    <w:p>
      <w:pPr>
        <w:spacing w:line="240" w:lineRule="auto"/>
        <w:jc w:val="both"/>
        <w:rPr>
          <w:color w:val="auto"/>
        </w:rPr>
      </w:pPr>
      <w:r>
        <w:rPr>
          <w:color w:val="auto"/>
        </w:rPr>
        <w:t>附件4</w:t>
      </w:r>
    </w:p>
    <w:tbl>
      <w:tblPr>
        <w:tblStyle w:val="1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930"/>
        <w:gridCol w:w="6153"/>
        <w:gridCol w:w="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bCs/>
                <w:color w:val="auto"/>
                <w:sz w:val="32"/>
                <w:szCs w:val="32"/>
              </w:rPr>
            </w:pPr>
            <w:r>
              <w:rPr>
                <w:rFonts w:hint="eastAsia" w:ascii="方正小标宋简体" w:eastAsia="方正小标宋简体"/>
                <w:bCs/>
                <w:color w:val="auto"/>
                <w:sz w:val="32"/>
                <w:szCs w:val="32"/>
              </w:rPr>
              <w:t>2023年信和杯·第四届湖南省绿色建筑设计竞赛</w:t>
            </w:r>
          </w:p>
          <w:p>
            <w:pPr>
              <w:jc w:val="center"/>
              <w:rPr>
                <w:rFonts w:eastAsia="仿宋"/>
                <w:b/>
                <w:bCs/>
                <w:color w:val="auto"/>
              </w:rPr>
            </w:pPr>
            <w:r>
              <w:rPr>
                <w:rFonts w:hint="eastAsia" w:ascii="方正小标宋简体" w:eastAsia="方正小标宋简体"/>
                <w:color w:val="auto"/>
                <w:sz w:val="32"/>
                <w:szCs w:val="32"/>
              </w:rPr>
              <w:t>评审细则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457" w:type="dxa"/>
            <w:tcBorders>
              <w:top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b/>
                <w:bCs/>
                <w:color w:val="auto"/>
              </w:rPr>
            </w:pPr>
            <w:r>
              <w:rPr>
                <w:rFonts w:eastAsia="仿宋"/>
                <w:b/>
                <w:bCs/>
                <w:color w:val="auto"/>
              </w:rPr>
              <w:t>序号</w:t>
            </w:r>
          </w:p>
        </w:tc>
        <w:tc>
          <w:tcPr>
            <w:tcW w:w="930" w:type="dxa"/>
            <w:tcBorders>
              <w:top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b/>
                <w:bCs/>
                <w:color w:val="auto"/>
              </w:rPr>
            </w:pPr>
            <w:r>
              <w:rPr>
                <w:rFonts w:eastAsia="仿宋"/>
                <w:b/>
                <w:bCs/>
                <w:color w:val="auto"/>
              </w:rPr>
              <w:t>评选</w:t>
            </w:r>
          </w:p>
          <w:p>
            <w:pPr>
              <w:spacing w:line="264" w:lineRule="auto"/>
              <w:jc w:val="center"/>
              <w:rPr>
                <w:rFonts w:eastAsia="仿宋"/>
                <w:b/>
                <w:bCs/>
                <w:color w:val="auto"/>
              </w:rPr>
            </w:pPr>
            <w:r>
              <w:rPr>
                <w:rFonts w:eastAsia="仿宋"/>
                <w:b/>
                <w:bCs/>
                <w:color w:val="auto"/>
              </w:rPr>
              <w:t>类别</w:t>
            </w:r>
          </w:p>
        </w:tc>
        <w:tc>
          <w:tcPr>
            <w:tcW w:w="6153" w:type="dxa"/>
            <w:tcBorders>
              <w:top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b/>
                <w:bCs/>
                <w:color w:val="auto"/>
              </w:rPr>
            </w:pPr>
            <w:r>
              <w:rPr>
                <w:rFonts w:eastAsia="仿宋"/>
                <w:b/>
                <w:bCs/>
                <w:color w:val="auto"/>
              </w:rPr>
              <w:t>评选总体要求</w:t>
            </w:r>
          </w:p>
        </w:tc>
        <w:tc>
          <w:tcPr>
            <w:tcW w:w="982" w:type="dxa"/>
            <w:tcBorders>
              <w:top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b/>
                <w:bCs/>
                <w:color w:val="auto"/>
              </w:rPr>
            </w:pPr>
            <w:r>
              <w:rPr>
                <w:rFonts w:eastAsia="仿宋"/>
                <w:b/>
                <w:bCs/>
                <w:color w:val="auto"/>
              </w:rPr>
              <w:t>权重%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457" w:type="dxa"/>
            <w:vMerge w:val="restart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1</w:t>
            </w:r>
          </w:p>
        </w:tc>
        <w:tc>
          <w:tcPr>
            <w:tcW w:w="930" w:type="dxa"/>
            <w:vMerge w:val="restart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设计理念</w:t>
            </w:r>
          </w:p>
        </w:tc>
        <w:tc>
          <w:tcPr>
            <w:tcW w:w="6153" w:type="dxa"/>
            <w:vMerge w:val="restart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设计理念深刻、前沿，引领绿色低碳建筑发展潮流，符合项目所在地的气候、资源、经济及人居习惯等，与地区及项目功能需求相适宜。</w:t>
            </w:r>
          </w:p>
        </w:tc>
        <w:tc>
          <w:tcPr>
            <w:tcW w:w="982" w:type="dxa"/>
            <w:vMerge w:val="restart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457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6153" w:type="dxa"/>
            <w:vMerge w:val="continue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457" w:type="dxa"/>
            <w:vMerge w:val="restart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2</w:t>
            </w:r>
          </w:p>
        </w:tc>
        <w:tc>
          <w:tcPr>
            <w:tcW w:w="930" w:type="dxa"/>
            <w:vMerge w:val="restart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整体及创新性</w:t>
            </w:r>
          </w:p>
        </w:tc>
        <w:tc>
          <w:tcPr>
            <w:tcW w:w="6153" w:type="dxa"/>
            <w:vMerge w:val="restart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建筑艺术（美观）与节能、节水、通风设计、生态环境等绿色低碳技术能很好地结合，具有良好的建筑艺术形式，能够推动绿色建筑在艺术形式上的创新发展。</w:t>
            </w:r>
          </w:p>
        </w:tc>
        <w:tc>
          <w:tcPr>
            <w:tcW w:w="982" w:type="dxa"/>
            <w:vMerge w:val="restart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457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6153" w:type="dxa"/>
            <w:vMerge w:val="continue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457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6153" w:type="dxa"/>
            <w:vMerge w:val="continue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457" w:type="dxa"/>
            <w:vMerge w:val="restart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3</w:t>
            </w:r>
          </w:p>
        </w:tc>
        <w:tc>
          <w:tcPr>
            <w:tcW w:w="930" w:type="dxa"/>
            <w:vMerge w:val="restart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技术合理性</w:t>
            </w:r>
          </w:p>
        </w:tc>
        <w:tc>
          <w:tcPr>
            <w:tcW w:w="6153" w:type="dxa"/>
            <w:vMerge w:val="restart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充分体现绿色建筑“安全耐久、生活便利、健康舒适、环境宜居、资源节约”的基本要求，技术路径符合“被动式设计优先，主动技术优化，可再生能源利用，碳汇中和”的原则，建筑技术选择和采取的措施具有创新性、集成性、系统性，不同技术之间有很好的协调和衔接，综合效果和总体技术水平、技术经济指标达到领先水平，有利于解决绿色建筑发展中的热点、难点和关键问题。</w:t>
            </w:r>
          </w:p>
        </w:tc>
        <w:tc>
          <w:tcPr>
            <w:tcW w:w="982" w:type="dxa"/>
            <w:vMerge w:val="restart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457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6153" w:type="dxa"/>
            <w:vMerge w:val="continue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457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6153" w:type="dxa"/>
            <w:vMerge w:val="continue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457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6153" w:type="dxa"/>
            <w:vMerge w:val="continue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457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6153" w:type="dxa"/>
            <w:vMerge w:val="continue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457" w:type="dxa"/>
            <w:vMerge w:val="restart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4</w:t>
            </w:r>
          </w:p>
        </w:tc>
        <w:tc>
          <w:tcPr>
            <w:tcW w:w="930" w:type="dxa"/>
            <w:vMerge w:val="restart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综合效益</w:t>
            </w:r>
          </w:p>
        </w:tc>
        <w:tc>
          <w:tcPr>
            <w:tcW w:w="6153" w:type="dxa"/>
            <w:vMerge w:val="restart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具有较好的经济效益、社会效益和环境效益，对推动绿色建筑技术进步，引导绿色建筑高质量发展具有较强的示范作用和推广应用价值。</w:t>
            </w:r>
          </w:p>
        </w:tc>
        <w:tc>
          <w:tcPr>
            <w:tcW w:w="982" w:type="dxa"/>
            <w:vMerge w:val="restart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457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6153" w:type="dxa"/>
            <w:vMerge w:val="continue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457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  <w:tc>
          <w:tcPr>
            <w:tcW w:w="6153" w:type="dxa"/>
            <w:vMerge w:val="continue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</w:p>
        </w:tc>
        <w:tc>
          <w:tcPr>
            <w:tcW w:w="982" w:type="dxa"/>
            <w:vMerge w:val="continue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457" w:type="dxa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5</w:t>
            </w:r>
          </w:p>
        </w:tc>
        <w:tc>
          <w:tcPr>
            <w:tcW w:w="930" w:type="dxa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创新项</w:t>
            </w:r>
          </w:p>
        </w:tc>
        <w:tc>
          <w:tcPr>
            <w:tcW w:w="6153" w:type="dxa"/>
            <w:vAlign w:val="center"/>
          </w:tcPr>
          <w:p>
            <w:pPr>
              <w:spacing w:line="264" w:lineRule="auto"/>
              <w:jc w:val="left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在节能减碳、性能提升、环境融合等方面有突出亮点与示范效应。</w:t>
            </w:r>
          </w:p>
        </w:tc>
        <w:tc>
          <w:tcPr>
            <w:tcW w:w="982" w:type="dxa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eastAsia="仿宋"/>
                <w:color w:val="auto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457" w:type="dxa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hint="eastAsia" w:eastAsia="仿宋"/>
                <w:color w:val="auto"/>
              </w:rPr>
              <w:t>6</w:t>
            </w:r>
          </w:p>
        </w:tc>
        <w:tc>
          <w:tcPr>
            <w:tcW w:w="930" w:type="dxa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hint="eastAsia" w:eastAsia="仿宋"/>
                <w:color w:val="auto"/>
              </w:rPr>
              <w:t>网络评选</w:t>
            </w:r>
          </w:p>
        </w:tc>
        <w:tc>
          <w:tcPr>
            <w:tcW w:w="6153" w:type="dxa"/>
            <w:vAlign w:val="center"/>
          </w:tcPr>
          <w:p>
            <w:pPr>
              <w:spacing w:line="264" w:lineRule="auto"/>
              <w:jc w:val="both"/>
              <w:rPr>
                <w:rFonts w:eastAsia="仿宋"/>
                <w:color w:val="auto"/>
              </w:rPr>
            </w:pPr>
            <w:r>
              <w:rPr>
                <w:rFonts w:hint="eastAsia" w:eastAsia="仿宋"/>
                <w:color w:val="auto"/>
              </w:rPr>
              <w:t>此项</w:t>
            </w:r>
            <w:r>
              <w:rPr>
                <w:rFonts w:eastAsia="仿宋"/>
                <w:color w:val="auto"/>
              </w:rPr>
              <w:t>评选结果可依据实际情况设置最佳人气奖。</w:t>
            </w:r>
          </w:p>
        </w:tc>
        <w:tc>
          <w:tcPr>
            <w:tcW w:w="982" w:type="dxa"/>
            <w:vAlign w:val="center"/>
          </w:tcPr>
          <w:p>
            <w:pPr>
              <w:spacing w:line="264" w:lineRule="auto"/>
              <w:jc w:val="center"/>
              <w:rPr>
                <w:rFonts w:eastAsia="仿宋"/>
                <w:color w:val="auto"/>
              </w:rPr>
            </w:pPr>
            <w:r>
              <w:rPr>
                <w:rFonts w:hint="eastAsia" w:eastAsia="仿宋"/>
                <w:color w:val="auto"/>
              </w:rPr>
              <w:t>5%</w:t>
            </w:r>
          </w:p>
        </w:tc>
      </w:tr>
    </w:tbl>
    <w:p>
      <w:pPr>
        <w:spacing w:line="520" w:lineRule="exact"/>
        <w:jc w:val="right"/>
        <w:rPr>
          <w:rFonts w:eastAsia="华文仿宋"/>
          <w:sz w:val="30"/>
          <w:szCs w:val="30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eBvlC3AQAAVAMAAA4AAABkcnMvZTJvRG9jLnhtbK1TwWobMRC9B/oP&#10;Qvd61y4JZrEcWkJKIaSBJB8gayWvQNIISfaufyD5g5x6yT3f5e/ISPY6pb2VXrQzmtGb92ZmF5eD&#10;NWQrQ9TgGJ1OakqkE9Bqt2b08eH685ySmLhruQEnGd3JSC+Xn84WvW/kDDowrQwEQVxses9ol5Jv&#10;qiqKTloeJ+Clw6CCYHlCN6yrNvAe0a2pZnV9UfUQWh9AyBjx9uoQpMuCr5QU6adSUSZiGEVuqZyh&#10;nKt8VssFb9aB+06LIw3+Dyws1w6LnqCueOJkE/RfUFaLABFUmgiwFSilhSwaUM20/kPNfce9LFqw&#10;OdGf2hT/H6y43d4FoltGZ5Q4bnFE+5fn/a+3/esTmeb29D42mHXvMS8N32DAMY/3ES+z6kEFm7+o&#10;h2AcG707NVcOiYj8aD6bz2sMCYyNDuJXH899iOm7BEuywWjA6ZWm8u1NTIfUMSVXc3CtjSkTNI70&#10;jF58Oa/Lg1MEwY3DGlnEgWy20rAajspW0O5QWI8bwKjDFaXE/HDY4LwsoxFGYzUaGx/0ukOO01Iv&#10;+q+bhGwKyVzhAHssjKMrMo9rlnfjd79kffwMy3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zSVju&#10;0AAAAAUBAAAPAAAAAAAAAAEAIAAAACIAAABkcnMvZG93bnJldi54bWxQSwECFAAUAAAACACHTuJA&#10;p4G+ULcBAABUAwAADgAAAAAAAAABACAAAAAfAQAAZHJzL2Uyb0RvYy54bWxQSwUGAAAAAAYABgBZ&#10;AQAAS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lYzdiYTNhZjg1MjVkZjVlMWM2Yzc5MmZhMGEwMjUifQ=="/>
  </w:docVars>
  <w:rsids>
    <w:rsidRoot w:val="0FF8378B"/>
    <w:rsid w:val="00006E34"/>
    <w:rsid w:val="0008369B"/>
    <w:rsid w:val="000876AE"/>
    <w:rsid w:val="000F0001"/>
    <w:rsid w:val="001314D6"/>
    <w:rsid w:val="00191B0D"/>
    <w:rsid w:val="0021436E"/>
    <w:rsid w:val="00220085"/>
    <w:rsid w:val="00287ABB"/>
    <w:rsid w:val="002B395A"/>
    <w:rsid w:val="002B70C7"/>
    <w:rsid w:val="00313B83"/>
    <w:rsid w:val="003321D1"/>
    <w:rsid w:val="00344AF3"/>
    <w:rsid w:val="003473A1"/>
    <w:rsid w:val="00365177"/>
    <w:rsid w:val="003A576B"/>
    <w:rsid w:val="003A6573"/>
    <w:rsid w:val="003E2DAA"/>
    <w:rsid w:val="003F696C"/>
    <w:rsid w:val="0042719E"/>
    <w:rsid w:val="004400C9"/>
    <w:rsid w:val="004624CD"/>
    <w:rsid w:val="004905DB"/>
    <w:rsid w:val="00507B8C"/>
    <w:rsid w:val="00527EF0"/>
    <w:rsid w:val="00561445"/>
    <w:rsid w:val="00580489"/>
    <w:rsid w:val="00585323"/>
    <w:rsid w:val="00587F81"/>
    <w:rsid w:val="005C59A4"/>
    <w:rsid w:val="005D0CDF"/>
    <w:rsid w:val="005D2FC7"/>
    <w:rsid w:val="006074D9"/>
    <w:rsid w:val="00662F30"/>
    <w:rsid w:val="006E4B33"/>
    <w:rsid w:val="00714910"/>
    <w:rsid w:val="00724052"/>
    <w:rsid w:val="007433E4"/>
    <w:rsid w:val="0077138E"/>
    <w:rsid w:val="007A1FD3"/>
    <w:rsid w:val="00815535"/>
    <w:rsid w:val="00821947"/>
    <w:rsid w:val="00835689"/>
    <w:rsid w:val="008458A8"/>
    <w:rsid w:val="00865D28"/>
    <w:rsid w:val="0090534E"/>
    <w:rsid w:val="009360E5"/>
    <w:rsid w:val="0093673C"/>
    <w:rsid w:val="0097011F"/>
    <w:rsid w:val="00980D0D"/>
    <w:rsid w:val="00980E14"/>
    <w:rsid w:val="00990FEE"/>
    <w:rsid w:val="009D192C"/>
    <w:rsid w:val="009D239C"/>
    <w:rsid w:val="00A177A6"/>
    <w:rsid w:val="00A20143"/>
    <w:rsid w:val="00A64FBB"/>
    <w:rsid w:val="00AB2AF4"/>
    <w:rsid w:val="00AC0F9F"/>
    <w:rsid w:val="00B02B1B"/>
    <w:rsid w:val="00B05D53"/>
    <w:rsid w:val="00B07836"/>
    <w:rsid w:val="00B16E8F"/>
    <w:rsid w:val="00B96A66"/>
    <w:rsid w:val="00BB3B62"/>
    <w:rsid w:val="00C0781F"/>
    <w:rsid w:val="00C1093F"/>
    <w:rsid w:val="00C14461"/>
    <w:rsid w:val="00C27113"/>
    <w:rsid w:val="00C51B7E"/>
    <w:rsid w:val="00C7138C"/>
    <w:rsid w:val="00C86ECA"/>
    <w:rsid w:val="00CB6D19"/>
    <w:rsid w:val="00D05590"/>
    <w:rsid w:val="00D27193"/>
    <w:rsid w:val="00D6113E"/>
    <w:rsid w:val="00D63D28"/>
    <w:rsid w:val="00D86694"/>
    <w:rsid w:val="00DB37D7"/>
    <w:rsid w:val="00DB62AB"/>
    <w:rsid w:val="00DC059F"/>
    <w:rsid w:val="00DC4AEC"/>
    <w:rsid w:val="00DD12ED"/>
    <w:rsid w:val="00E84665"/>
    <w:rsid w:val="00E851CC"/>
    <w:rsid w:val="00E964EA"/>
    <w:rsid w:val="00EA450B"/>
    <w:rsid w:val="00F11550"/>
    <w:rsid w:val="00F14898"/>
    <w:rsid w:val="00F30FE6"/>
    <w:rsid w:val="00FE28E3"/>
    <w:rsid w:val="00FF5695"/>
    <w:rsid w:val="02107384"/>
    <w:rsid w:val="02172D78"/>
    <w:rsid w:val="023F2A81"/>
    <w:rsid w:val="029F3468"/>
    <w:rsid w:val="047746D9"/>
    <w:rsid w:val="053E5C45"/>
    <w:rsid w:val="05641ED5"/>
    <w:rsid w:val="06366332"/>
    <w:rsid w:val="065540A0"/>
    <w:rsid w:val="071931B3"/>
    <w:rsid w:val="07F77FB8"/>
    <w:rsid w:val="087305B5"/>
    <w:rsid w:val="08BB5822"/>
    <w:rsid w:val="0976550A"/>
    <w:rsid w:val="0AA100B8"/>
    <w:rsid w:val="0BB46AE9"/>
    <w:rsid w:val="0BBC5546"/>
    <w:rsid w:val="0BC15539"/>
    <w:rsid w:val="0C454D44"/>
    <w:rsid w:val="0CC35D46"/>
    <w:rsid w:val="0DA40F19"/>
    <w:rsid w:val="0EB175A7"/>
    <w:rsid w:val="0EE778CE"/>
    <w:rsid w:val="0FF8378B"/>
    <w:rsid w:val="111725AC"/>
    <w:rsid w:val="12036100"/>
    <w:rsid w:val="13765A72"/>
    <w:rsid w:val="13AF0434"/>
    <w:rsid w:val="13DD4D80"/>
    <w:rsid w:val="14C06FB6"/>
    <w:rsid w:val="15460724"/>
    <w:rsid w:val="15B77F70"/>
    <w:rsid w:val="19544E75"/>
    <w:rsid w:val="19C35751"/>
    <w:rsid w:val="1BAA6C87"/>
    <w:rsid w:val="1D714D87"/>
    <w:rsid w:val="1D8F1D5A"/>
    <w:rsid w:val="1DEC51FE"/>
    <w:rsid w:val="1F0561E8"/>
    <w:rsid w:val="1F2D73EA"/>
    <w:rsid w:val="205A3CE9"/>
    <w:rsid w:val="22F637CC"/>
    <w:rsid w:val="24633385"/>
    <w:rsid w:val="268071CB"/>
    <w:rsid w:val="269C0BCE"/>
    <w:rsid w:val="2873679F"/>
    <w:rsid w:val="2A650E83"/>
    <w:rsid w:val="2AF302E1"/>
    <w:rsid w:val="2B304121"/>
    <w:rsid w:val="2B6E47D6"/>
    <w:rsid w:val="2E421D0F"/>
    <w:rsid w:val="30D22C51"/>
    <w:rsid w:val="32C85CD3"/>
    <w:rsid w:val="32D0307D"/>
    <w:rsid w:val="33D165BF"/>
    <w:rsid w:val="33E879A7"/>
    <w:rsid w:val="340018A7"/>
    <w:rsid w:val="348D0AEF"/>
    <w:rsid w:val="350376A0"/>
    <w:rsid w:val="36251DFF"/>
    <w:rsid w:val="36316D8A"/>
    <w:rsid w:val="363E5C53"/>
    <w:rsid w:val="37F13DAB"/>
    <w:rsid w:val="39C627CB"/>
    <w:rsid w:val="39E92DF5"/>
    <w:rsid w:val="3A18370D"/>
    <w:rsid w:val="3A422548"/>
    <w:rsid w:val="3B5D13CC"/>
    <w:rsid w:val="3C14779E"/>
    <w:rsid w:val="3DB75E41"/>
    <w:rsid w:val="3E314A4A"/>
    <w:rsid w:val="3E5A4B53"/>
    <w:rsid w:val="3E924707"/>
    <w:rsid w:val="3F553FE7"/>
    <w:rsid w:val="3F5D4A2C"/>
    <w:rsid w:val="3FA23B00"/>
    <w:rsid w:val="402E44FF"/>
    <w:rsid w:val="418C4E25"/>
    <w:rsid w:val="41D42999"/>
    <w:rsid w:val="45860188"/>
    <w:rsid w:val="45961CFD"/>
    <w:rsid w:val="45EB49CD"/>
    <w:rsid w:val="4725524A"/>
    <w:rsid w:val="4A4C7D6A"/>
    <w:rsid w:val="4BAE3008"/>
    <w:rsid w:val="4C6A632E"/>
    <w:rsid w:val="4C9F2D41"/>
    <w:rsid w:val="4CB33BAB"/>
    <w:rsid w:val="4CB801E4"/>
    <w:rsid w:val="4E9D56CF"/>
    <w:rsid w:val="50701A47"/>
    <w:rsid w:val="51842DB2"/>
    <w:rsid w:val="52176895"/>
    <w:rsid w:val="522E428F"/>
    <w:rsid w:val="529502A9"/>
    <w:rsid w:val="536B013B"/>
    <w:rsid w:val="538559FF"/>
    <w:rsid w:val="552F2B0D"/>
    <w:rsid w:val="569955C1"/>
    <w:rsid w:val="57122326"/>
    <w:rsid w:val="57C17E41"/>
    <w:rsid w:val="584328DD"/>
    <w:rsid w:val="585D7473"/>
    <w:rsid w:val="590C1BA0"/>
    <w:rsid w:val="59301080"/>
    <w:rsid w:val="5A3E0D01"/>
    <w:rsid w:val="5A6F70EB"/>
    <w:rsid w:val="5AB12F3F"/>
    <w:rsid w:val="5B39435A"/>
    <w:rsid w:val="5BA00626"/>
    <w:rsid w:val="5CF0606B"/>
    <w:rsid w:val="5D8A29E3"/>
    <w:rsid w:val="5FFC49DB"/>
    <w:rsid w:val="606A5F5A"/>
    <w:rsid w:val="60937A82"/>
    <w:rsid w:val="61B13320"/>
    <w:rsid w:val="61D11F16"/>
    <w:rsid w:val="62374206"/>
    <w:rsid w:val="62DF6872"/>
    <w:rsid w:val="64F05644"/>
    <w:rsid w:val="654D2D6A"/>
    <w:rsid w:val="65FF07B9"/>
    <w:rsid w:val="660A09AC"/>
    <w:rsid w:val="67840337"/>
    <w:rsid w:val="681C328A"/>
    <w:rsid w:val="68661A53"/>
    <w:rsid w:val="6A711029"/>
    <w:rsid w:val="6D4D6CAA"/>
    <w:rsid w:val="6DEA43E0"/>
    <w:rsid w:val="6E4267E2"/>
    <w:rsid w:val="6ED6339A"/>
    <w:rsid w:val="6F8966AA"/>
    <w:rsid w:val="6F9F11C9"/>
    <w:rsid w:val="6FF819C3"/>
    <w:rsid w:val="70731D66"/>
    <w:rsid w:val="70D941BA"/>
    <w:rsid w:val="71997FEE"/>
    <w:rsid w:val="72061AF3"/>
    <w:rsid w:val="76144165"/>
    <w:rsid w:val="76232660"/>
    <w:rsid w:val="765F3020"/>
    <w:rsid w:val="77621CA5"/>
    <w:rsid w:val="7875557C"/>
    <w:rsid w:val="79B779A0"/>
    <w:rsid w:val="7A050938"/>
    <w:rsid w:val="7A427BA1"/>
    <w:rsid w:val="7D734142"/>
    <w:rsid w:val="7EFB0260"/>
    <w:rsid w:val="7F16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Autospacing="1" w:afterAutospacing="1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2"/>
    <w:basedOn w:val="1"/>
    <w:next w:val="1"/>
    <w:link w:val="18"/>
    <w:qFormat/>
    <w:uiPriority w:val="99"/>
    <w:pPr>
      <w:keepNext/>
      <w:keepLines/>
      <w:spacing w:before="60"/>
      <w:outlineLvl w:val="1"/>
    </w:pPr>
    <w:rPr>
      <w:rFonts w:ascii="宋体" w:hAnsi="宋体" w:eastAsia="黑体" w:cs="宋体"/>
      <w:b/>
      <w:bCs/>
      <w:sz w:val="28"/>
      <w:szCs w:val="28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qFormat/>
    <w:uiPriority w:val="99"/>
  </w:style>
  <w:style w:type="paragraph" w:styleId="5">
    <w:name w:val="Date"/>
    <w:basedOn w:val="1"/>
    <w:next w:val="1"/>
    <w:link w:val="29"/>
    <w:semiHidden/>
    <w:unhideWhenUsed/>
    <w:uiPriority w:val="99"/>
    <w:pPr>
      <w:ind w:left="100" w:leftChars="2500"/>
    </w:pPr>
  </w:style>
  <w:style w:type="paragraph" w:styleId="6">
    <w:name w:val="Balloon Text"/>
    <w:basedOn w:val="1"/>
    <w:link w:val="21"/>
    <w:semiHidden/>
    <w:qFormat/>
    <w:uiPriority w:val="99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3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  <w:szCs w:val="18"/>
    </w:rPr>
  </w:style>
  <w:style w:type="paragraph" w:styleId="9">
    <w:name w:val="footnote text"/>
    <w:basedOn w:val="1"/>
    <w:link w:val="24"/>
    <w:semiHidden/>
    <w:qFormat/>
    <w:uiPriority w:val="99"/>
    <w:pPr>
      <w:snapToGrid w:val="0"/>
    </w:pPr>
    <w:rPr>
      <w:sz w:val="18"/>
      <w:szCs w:val="18"/>
    </w:rPr>
  </w:style>
  <w:style w:type="paragraph" w:styleId="10">
    <w:name w:val="Normal (Web)"/>
    <w:basedOn w:val="1"/>
    <w:semiHidden/>
    <w:unhideWhenUsed/>
    <w:uiPriority w:val="99"/>
    <w:pPr>
      <w:widowControl/>
      <w:spacing w:before="100" w:beforeAutospacing="1" w:after="100" w:afterAutospacing="1" w:line="240" w:lineRule="auto"/>
    </w:pPr>
    <w:rPr>
      <w:rFonts w:ascii="宋体" w:hAnsi="宋体" w:cs="宋体"/>
      <w:kern w:val="0"/>
    </w:rPr>
  </w:style>
  <w:style w:type="paragraph" w:styleId="11">
    <w:name w:val="annotation subject"/>
    <w:basedOn w:val="4"/>
    <w:next w:val="4"/>
    <w:link w:val="20"/>
    <w:semiHidden/>
    <w:qFormat/>
    <w:uiPriority w:val="99"/>
    <w:rPr>
      <w:b/>
      <w:bCs/>
    </w:rPr>
  </w:style>
  <w:style w:type="table" w:styleId="13">
    <w:name w:val="Table Grid"/>
    <w:basedOn w:val="1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annotation reference"/>
    <w:basedOn w:val="14"/>
    <w:semiHidden/>
    <w:qFormat/>
    <w:uiPriority w:val="99"/>
    <w:rPr>
      <w:sz w:val="21"/>
      <w:szCs w:val="21"/>
    </w:rPr>
  </w:style>
  <w:style w:type="character" w:styleId="17">
    <w:name w:val="footnote reference"/>
    <w:basedOn w:val="14"/>
    <w:semiHidden/>
    <w:qFormat/>
    <w:uiPriority w:val="99"/>
    <w:rPr>
      <w:vertAlign w:val="superscript"/>
    </w:rPr>
  </w:style>
  <w:style w:type="character" w:customStyle="1" w:styleId="18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批注文字 字符"/>
    <w:basedOn w:val="14"/>
    <w:link w:val="4"/>
    <w:qFormat/>
    <w:locked/>
    <w:uiPriority w:val="99"/>
    <w:rPr>
      <w:kern w:val="2"/>
      <w:sz w:val="24"/>
      <w:szCs w:val="24"/>
    </w:rPr>
  </w:style>
  <w:style w:type="character" w:customStyle="1" w:styleId="20">
    <w:name w:val="批注主题 字符"/>
    <w:basedOn w:val="19"/>
    <w:link w:val="11"/>
    <w:qFormat/>
    <w:locked/>
    <w:uiPriority w:val="99"/>
    <w:rPr>
      <w:b/>
      <w:bCs/>
      <w:kern w:val="2"/>
      <w:sz w:val="24"/>
      <w:szCs w:val="24"/>
    </w:rPr>
  </w:style>
  <w:style w:type="character" w:customStyle="1" w:styleId="21">
    <w:name w:val="批注框文本 字符"/>
    <w:basedOn w:val="14"/>
    <w:link w:val="6"/>
    <w:qFormat/>
    <w:locked/>
    <w:uiPriority w:val="99"/>
    <w:rPr>
      <w:kern w:val="2"/>
      <w:sz w:val="18"/>
      <w:szCs w:val="18"/>
    </w:rPr>
  </w:style>
  <w:style w:type="character" w:customStyle="1" w:styleId="22">
    <w:name w:val="页脚 字符"/>
    <w:basedOn w:val="14"/>
    <w:link w:val="7"/>
    <w:semiHidden/>
    <w:qFormat/>
    <w:uiPriority w:val="99"/>
    <w:rPr>
      <w:sz w:val="18"/>
      <w:szCs w:val="18"/>
    </w:rPr>
  </w:style>
  <w:style w:type="character" w:customStyle="1" w:styleId="23">
    <w:name w:val="页眉 字符"/>
    <w:basedOn w:val="14"/>
    <w:link w:val="8"/>
    <w:semiHidden/>
    <w:qFormat/>
    <w:uiPriority w:val="99"/>
    <w:rPr>
      <w:sz w:val="18"/>
      <w:szCs w:val="18"/>
    </w:rPr>
  </w:style>
  <w:style w:type="character" w:customStyle="1" w:styleId="24">
    <w:name w:val="脚注文本 字符"/>
    <w:basedOn w:val="14"/>
    <w:link w:val="9"/>
    <w:semiHidden/>
    <w:qFormat/>
    <w:uiPriority w:val="99"/>
    <w:rPr>
      <w:sz w:val="18"/>
      <w:szCs w:val="18"/>
    </w:rPr>
  </w:style>
  <w:style w:type="paragraph" w:customStyle="1" w:styleId="25">
    <w:name w:val="列出段落1"/>
    <w:basedOn w:val="1"/>
    <w:qFormat/>
    <w:uiPriority w:val="99"/>
    <w:pPr>
      <w:ind w:firstLine="420" w:firstLineChars="200"/>
    </w:pPr>
  </w:style>
  <w:style w:type="paragraph" w:customStyle="1" w:styleId="26">
    <w:name w:val="列出段落1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customStyle="1" w:styleId="27">
    <w:name w:val="Style19"/>
    <w:basedOn w:val="1"/>
    <w:qFormat/>
    <w:uiPriority w:val="0"/>
    <w:pPr>
      <w:spacing w:line="1242" w:lineRule="exact"/>
      <w:jc w:val="both"/>
    </w:pPr>
  </w:style>
  <w:style w:type="paragraph" w:styleId="28">
    <w:name w:val="List Paragraph"/>
    <w:basedOn w:val="1"/>
    <w:uiPriority w:val="99"/>
    <w:pPr>
      <w:ind w:firstLine="420" w:firstLineChars="200"/>
    </w:pPr>
  </w:style>
  <w:style w:type="character" w:customStyle="1" w:styleId="29">
    <w:name w:val="日期 字符"/>
    <w:basedOn w:val="14"/>
    <w:link w:val="5"/>
    <w:semiHidden/>
    <w:uiPriority w:val="99"/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13</Pages>
  <Words>3403</Words>
  <Characters>3667</Characters>
  <Lines>31</Lines>
  <Paragraphs>8</Paragraphs>
  <TotalTime>9</TotalTime>
  <ScaleCrop>false</ScaleCrop>
  <LinksUpToDate>false</LinksUpToDate>
  <CharactersWithSpaces>3952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2023-08-16T07:27:00Z</dcterms:created>
  <dc:creator>jiangq</dc:creator>
  <cp:lastModifiedBy>三逗逗～</cp:lastModifiedBy>
  <cp:lastPrinted>2023-07-31T03:27:00Z</cp:lastPrinted>
  <dcterms:modified xsi:type="dcterms:W3CDTF">2023-08-21T02:07:49Z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F784AB7D022341A6885E7944B6F8083D_13</vt:lpwstr>
  </property>
</Properties>
</file>