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仿宋" w:hAnsi="仿宋" w:eastAsia="仿宋"/>
          <w:sz w:val="28"/>
          <w:szCs w:val="28"/>
        </w:rPr>
      </w:pPr>
      <w:r>
        <w:rPr>
          <w:rFonts w:hint="eastAsia" w:ascii="仿宋" w:hAnsi="仿宋" w:eastAsia="仿宋"/>
          <w:sz w:val="28"/>
          <w:szCs w:val="28"/>
        </w:rPr>
        <w:t>附件2：</w:t>
      </w:r>
    </w:p>
    <w:p>
      <w:pPr>
        <w:pStyle w:val="4"/>
        <w:shd w:val="clear" w:color="auto" w:fill="FFFFFF"/>
        <w:spacing w:before="0" w:beforeAutospacing="0" w:after="0" w:afterAutospacing="0" w:line="520" w:lineRule="exact"/>
        <w:jc w:val="center"/>
        <w:rPr>
          <w:rFonts w:hint="eastAsia" w:ascii="黑体" w:hAnsi="黑体" w:eastAsia="黑体"/>
          <w:b/>
          <w:bCs/>
          <w:sz w:val="32"/>
          <w:szCs w:val="32"/>
        </w:rPr>
      </w:pPr>
      <w:bookmarkStart w:id="0" w:name="_GoBack"/>
      <w:r>
        <w:rPr>
          <w:rFonts w:hint="eastAsia"/>
          <w:b/>
          <w:bCs/>
          <w:sz w:val="32"/>
          <w:szCs w:val="32"/>
        </w:rPr>
        <w:t>“</w:t>
      </w:r>
      <w:r>
        <w:rPr>
          <w:rFonts w:hint="eastAsia" w:ascii="黑体" w:hAnsi="黑体" w:eastAsia="黑体"/>
          <w:b/>
          <w:bCs/>
          <w:sz w:val="32"/>
          <w:szCs w:val="32"/>
        </w:rPr>
        <w:t>我为会员办事实”活动之财税金融专题公益沙龙讲座方案</w:t>
      </w:r>
    </w:p>
    <w:bookmarkEnd w:id="0"/>
    <w:p>
      <w:pPr>
        <w:pStyle w:val="4"/>
        <w:shd w:val="clear" w:color="auto" w:fill="FFFFFF"/>
        <w:spacing w:before="0" w:beforeAutospacing="0" w:after="0" w:afterAutospacing="0" w:line="520" w:lineRule="exact"/>
        <w:jc w:val="center"/>
        <w:rPr>
          <w:rFonts w:hint="eastAsia" w:ascii="黑体" w:hAnsi="黑体" w:eastAsia="黑体"/>
          <w:b/>
          <w:bCs/>
          <w:sz w:val="32"/>
          <w:szCs w:val="32"/>
        </w:rPr>
      </w:pPr>
    </w:p>
    <w:p>
      <w:pPr>
        <w:pStyle w:val="4"/>
        <w:shd w:val="clear" w:color="auto" w:fill="FFFFFF"/>
        <w:spacing w:before="0" w:beforeAutospacing="0" w:after="0" w:afterAutospacing="0" w:line="520" w:lineRule="exact"/>
        <w:ind w:firstLine="551" w:firstLineChars="196"/>
        <w:rPr>
          <w:rFonts w:hint="eastAsia" w:ascii="仿宋" w:hAnsi="仿宋" w:eastAsia="仿宋" w:cs="仿宋"/>
          <w:b/>
          <w:sz w:val="28"/>
          <w:szCs w:val="28"/>
        </w:rPr>
      </w:pPr>
      <w:r>
        <w:rPr>
          <w:rFonts w:hint="eastAsia" w:ascii="仿宋" w:hAnsi="仿宋" w:eastAsia="仿宋" w:cs="仿宋"/>
          <w:b/>
          <w:sz w:val="28"/>
          <w:szCs w:val="28"/>
        </w:rPr>
        <w:t>一、讲座背景</w:t>
      </w:r>
    </w:p>
    <w:p>
      <w:pPr>
        <w:pStyle w:val="4"/>
        <w:shd w:val="clear" w:color="auto" w:fill="FFFFFF"/>
        <w:spacing w:before="0" w:beforeAutospacing="0" w:after="0" w:afterAutospacing="0" w:line="520" w:lineRule="exact"/>
        <w:ind w:firstLine="560" w:firstLineChars="200"/>
        <w:rPr>
          <w:rFonts w:hint="eastAsia" w:ascii="仿宋" w:hAnsi="仿宋" w:eastAsia="仿宋" w:cs="仿宋"/>
          <w:sz w:val="28"/>
          <w:szCs w:val="28"/>
        </w:rPr>
      </w:pPr>
      <w:r>
        <w:rPr>
          <w:rFonts w:hint="eastAsia" w:ascii="仿宋_GB2312" w:hAnsi="仿宋_GB2312" w:eastAsia="仿宋_GB2312" w:cs="仿宋_GB2312"/>
          <w:sz w:val="28"/>
          <w:szCs w:val="28"/>
        </w:rPr>
        <w:t>近年来国家税制改革、社保征管体制改革、资金支付监管及住建部门行业监管等共同构成了建筑企业目前面临的多重监管环境，</w:t>
      </w:r>
      <w:r>
        <w:rPr>
          <w:rFonts w:hint="eastAsia" w:ascii="仿宋" w:hAnsi="仿宋" w:eastAsia="仿宋" w:cs="仿宋"/>
          <w:sz w:val="28"/>
          <w:szCs w:val="28"/>
        </w:rPr>
        <w:t>疫情后出台了系列以财政政策为主线的拉动政策，建筑及新材料等相关行业运营面临着机会，也同样存在挑战。全面营改增已经五年，但很多建筑企业依然没有摆脱营业税的思维惯性，没有把握住增值税处理中的规则核心。与营业税时期“一张发票搞定一切”不同，增值税是总部纳税、异地预缴，接受总部税务机关稽查，担负增值税专用发票相关风险责任。并且增值税政策还在不断变化，相关行业政策也在不断变化。把握增值税规则，是建筑业财税风险防控的基础。</w:t>
      </w:r>
    </w:p>
    <w:p>
      <w:pPr>
        <w:pStyle w:val="4"/>
        <w:shd w:val="clear" w:color="auto" w:fill="FFFFFF"/>
        <w:spacing w:before="0" w:beforeAutospacing="0" w:after="0" w:afterAutospacing="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2021年1月18日，国家发改委正式印发《西部地区鼓励类产业目录（2020年本）》，对西部地区鼓励类产业企业减按15%的税率征收企业所得税。《目录》界定了西部大开发企业所得税优惠政策适用的产业范围，是企业能否享受该政策的重要依据，西部地区鼓励类产业政策的适用范围包括重庆、四川、贵州、云南、西藏、陕西、甘肃、青海、宁夏、新疆（含兵团）、内蒙古、广西等西部12省（区、市），面积占全国国土面积的70%以上。同时，吉林延边、湖北恩施、湖南湘西、江西赣州比照西部地区执行。同时，国家对科技型中小企业开展研发活动中发生的研发费用实行税前加计扣除等优惠政策；针对绿色节能、绿色产品也有许多税收、金融信贷方面的优惠政策。在相关政策不断更新变化的背景下，建筑业企业、材料企业、绿色科技服务型企业应当如何响应调整自身发展思路和管理要求，这些都是企业经营决策者和财税工作者的共同思考点。</w:t>
      </w:r>
    </w:p>
    <w:p>
      <w:pPr>
        <w:pStyle w:val="4"/>
        <w:shd w:val="clear" w:color="auto" w:fill="FFFFFF"/>
        <w:spacing w:before="0" w:beforeAutospacing="0" w:after="0" w:afterAutospacing="0" w:line="5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二、组织单位</w:t>
      </w:r>
    </w:p>
    <w:p>
      <w:pPr>
        <w:pStyle w:val="4"/>
        <w:shd w:val="clear" w:color="auto" w:fill="FFFFFF"/>
        <w:spacing w:before="0" w:beforeAutospacing="0" w:after="0" w:afterAutospacing="0" w:line="520" w:lineRule="exact"/>
        <w:ind w:firstLine="560" w:firstLineChars="200"/>
        <w:rPr>
          <w:rFonts w:ascii="仿宋" w:hAnsi="仿宋" w:eastAsia="仿宋" w:cs="仿宋"/>
          <w:sz w:val="28"/>
          <w:szCs w:val="28"/>
        </w:rPr>
      </w:pPr>
      <w:r>
        <w:rPr>
          <w:rFonts w:hint="eastAsia" w:ascii="仿宋" w:hAnsi="仿宋" w:eastAsia="仿宋" w:cs="仿宋"/>
          <w:sz w:val="28"/>
          <w:szCs w:val="28"/>
        </w:rPr>
        <w:t>本次活动由湖南省建设科技与建筑节能协会、湖南省财务学会等单位联合主办，由长沙市税务、浦发银行及创新型企业风险管理与控制技术湖南省工程实验室、企业财务信息与资本市场效应湖南省重点实验室等共同支持</w:t>
      </w:r>
    </w:p>
    <w:p>
      <w:pPr>
        <w:pStyle w:val="4"/>
        <w:numPr>
          <w:ilvl w:val="0"/>
          <w:numId w:val="1"/>
        </w:numPr>
        <w:shd w:val="clear" w:color="auto" w:fill="FFFFFF"/>
        <w:spacing w:before="0" w:beforeAutospacing="0" w:after="0" w:afterAutospacing="0" w:line="520" w:lineRule="exact"/>
        <w:rPr>
          <w:rFonts w:hint="eastAsia" w:ascii="仿宋" w:hAnsi="仿宋" w:eastAsia="仿宋" w:cs="仿宋"/>
          <w:b/>
          <w:sz w:val="28"/>
          <w:szCs w:val="28"/>
        </w:rPr>
      </w:pPr>
      <w:r>
        <w:rPr>
          <w:rFonts w:hint="eastAsia" w:ascii="仿宋" w:hAnsi="仿宋" w:eastAsia="仿宋" w:cs="仿宋"/>
          <w:b/>
          <w:sz w:val="28"/>
          <w:szCs w:val="28"/>
        </w:rPr>
        <w:t>主讲嘉宾</w:t>
      </w:r>
    </w:p>
    <w:p>
      <w:pPr>
        <w:pStyle w:val="4"/>
        <w:shd w:val="clear" w:color="auto" w:fill="FFFFFF"/>
        <w:spacing w:before="0" w:beforeAutospacing="0" w:after="0" w:afterAutospacing="0" w:line="520" w:lineRule="exact"/>
        <w:ind w:firstLine="562" w:firstLineChars="200"/>
        <w:rPr>
          <w:rFonts w:hint="eastAsia" w:ascii="仿宋" w:hAnsi="仿宋" w:eastAsia="仿宋" w:cs="Times New Roman"/>
          <w:kern w:val="2"/>
          <w:sz w:val="28"/>
          <w:szCs w:val="28"/>
        </w:rPr>
      </w:pPr>
      <w:r>
        <w:rPr>
          <w:rFonts w:hint="eastAsia" w:ascii="仿宋" w:hAnsi="仿宋" w:eastAsia="仿宋" w:cs="Times New Roman"/>
          <w:b/>
          <w:bCs/>
          <w:kern w:val="2"/>
          <w:sz w:val="28"/>
          <w:szCs w:val="28"/>
        </w:rPr>
        <w:t>1、唐爱莲女士：</w:t>
      </w:r>
      <w:r>
        <w:rPr>
          <w:rFonts w:hint="eastAsia" w:ascii="仿宋" w:hAnsi="仿宋" w:eastAsia="仿宋" w:cs="Times New Roman"/>
          <w:kern w:val="2"/>
          <w:sz w:val="28"/>
          <w:szCs w:val="28"/>
        </w:rPr>
        <w:t>国家税务总局长沙市税务局雨花区高桥分局副局长，大学学历，会计专业，长期从事基层税务工作，先后在长沙市雨花区地税局税收业务科室、稽查局及分局工作。2003年-2011年在雨花区地税稽查局副局长工作期间，在长沙市率先开展房地产企业土地增值税清算，总结了大量的经验，对省市局出台相关文件提供了重要的参考意见。是雨花区税务局土地增值税专家团队成员。多年的税收一线实践，积累了很多经典税收案例，先后在省市区局发表了相关业务文章，对纳税人开展过多次各种税收业务培训。</w:t>
      </w:r>
    </w:p>
    <w:p>
      <w:pPr>
        <w:pStyle w:val="4"/>
        <w:shd w:val="clear" w:color="auto" w:fill="FFFFFF"/>
        <w:spacing w:before="0" w:beforeAutospacing="0" w:after="0" w:afterAutospacing="0" w:line="520" w:lineRule="exact"/>
        <w:ind w:firstLine="562" w:firstLineChars="200"/>
        <w:rPr>
          <w:rFonts w:hint="eastAsia" w:ascii="仿宋" w:hAnsi="仿宋" w:eastAsia="仿宋" w:cs="Times New Roman"/>
          <w:kern w:val="2"/>
          <w:sz w:val="28"/>
          <w:szCs w:val="28"/>
        </w:rPr>
      </w:pPr>
      <w:r>
        <w:rPr>
          <w:rFonts w:hint="eastAsia" w:ascii="仿宋" w:hAnsi="仿宋" w:eastAsia="仿宋" w:cs="Times New Roman"/>
          <w:b/>
          <w:bCs/>
          <w:kern w:val="2"/>
          <w:sz w:val="28"/>
          <w:szCs w:val="28"/>
        </w:rPr>
        <w:t>2、陈颖女士：</w:t>
      </w:r>
      <w:r>
        <w:rPr>
          <w:rFonts w:hint="eastAsia" w:ascii="仿宋" w:hAnsi="仿宋" w:eastAsia="仿宋" w:cs="Times New Roman"/>
          <w:kern w:val="2"/>
          <w:sz w:val="28"/>
          <w:szCs w:val="28"/>
        </w:rPr>
        <w:t>湖南省财务学会首席财税专家，湖南省咨询业协会副会长，长沙市咨询业协会监事长。注册会计师、注册税务师、国际注册管理会计师、香港财经学院金融硕士。知名财税专家、资深教练型财税专家、资深财富传承筹划专家、湖南泽洐咨询创始人，账合规研究院（香港）首席面试官，5 8科创集团全国创业导师【24省】，BOSS商学院高级税务咨询专家，多家企业常年财税顾问，多家财务职业培训机构特聘高级讲师，省级平台财税专家顾问导师。</w:t>
      </w:r>
    </w:p>
    <w:p>
      <w:pPr>
        <w:pStyle w:val="4"/>
        <w:shd w:val="clear" w:color="auto" w:fill="FFFFFF"/>
        <w:spacing w:before="0" w:beforeAutospacing="0" w:after="0" w:afterAutospacing="0" w:line="520" w:lineRule="exact"/>
        <w:ind w:firstLine="562" w:firstLineChars="200"/>
        <w:rPr>
          <w:rFonts w:hint="eastAsia" w:ascii="仿宋" w:hAnsi="仿宋" w:eastAsia="仿宋" w:cs="Times New Roman"/>
          <w:kern w:val="2"/>
          <w:sz w:val="28"/>
          <w:szCs w:val="28"/>
        </w:rPr>
      </w:pPr>
      <w:r>
        <w:rPr>
          <w:rFonts w:hint="eastAsia" w:ascii="仿宋" w:hAnsi="仿宋" w:eastAsia="仿宋" w:cs="Times New Roman"/>
          <w:b/>
          <w:kern w:val="2"/>
          <w:sz w:val="28"/>
          <w:szCs w:val="28"/>
        </w:rPr>
        <w:t>3、吴婧仪女士：</w:t>
      </w:r>
      <w:r>
        <w:rPr>
          <w:rFonts w:hint="eastAsia" w:ascii="仿宋" w:hAnsi="仿宋" w:eastAsia="仿宋" w:cs="Times New Roman"/>
          <w:kern w:val="2"/>
          <w:sz w:val="28"/>
          <w:szCs w:val="28"/>
        </w:rPr>
        <w:t>浦发银行湘府支行公司客户部经理，会计专业，对接服务各大企业，专注于企业金融服务特别是中小企业金融信贷服务方面有大量的实践经验和成功案例。</w:t>
      </w:r>
    </w:p>
    <w:p>
      <w:pPr>
        <w:pStyle w:val="4"/>
        <w:shd w:val="clear" w:color="auto" w:fill="FFFFFF"/>
        <w:spacing w:before="0" w:beforeAutospacing="0" w:after="0" w:afterAutospacing="0" w:line="520" w:lineRule="exact"/>
        <w:ind w:firstLine="562" w:firstLineChars="200"/>
        <w:rPr>
          <w:rFonts w:hint="eastAsia" w:ascii="仿宋" w:hAnsi="仿宋" w:eastAsia="仿宋"/>
          <w:b/>
          <w:bCs/>
          <w:sz w:val="28"/>
          <w:szCs w:val="21"/>
        </w:rPr>
      </w:pPr>
      <w:r>
        <w:rPr>
          <w:rFonts w:hint="eastAsia" w:ascii="仿宋" w:hAnsi="仿宋" w:eastAsia="仿宋"/>
          <w:b/>
          <w:sz w:val="28"/>
        </w:rPr>
        <w:t>四、主要内容</w:t>
      </w:r>
    </w:p>
    <w:p>
      <w:pPr>
        <w:spacing w:line="520" w:lineRule="exact"/>
        <w:ind w:firstLine="551" w:firstLineChars="196"/>
        <w:rPr>
          <w:rFonts w:hint="eastAsia" w:ascii="仿宋" w:hAnsi="仿宋" w:eastAsia="仿宋"/>
          <w:sz w:val="28"/>
          <w:szCs w:val="28"/>
        </w:rPr>
      </w:pPr>
      <w:r>
        <w:rPr>
          <w:rFonts w:hint="eastAsia" w:ascii="仿宋" w:hAnsi="仿宋" w:eastAsia="仿宋"/>
          <w:b/>
          <w:bCs/>
          <w:sz w:val="28"/>
          <w:szCs w:val="28"/>
        </w:rPr>
        <w:t>《建筑业企业的相关税收政策解读及案例分享》</w:t>
      </w:r>
      <w:r>
        <w:rPr>
          <w:rFonts w:hint="eastAsia" w:ascii="仿宋" w:hAnsi="仿宋" w:eastAsia="仿宋"/>
          <w:sz w:val="28"/>
          <w:szCs w:val="28"/>
        </w:rPr>
        <w:t>：建筑服务业的税率变化、建筑服务增值税纳税义务发生时间的判定、增值税加计抵减政策解析及具体适用、留抵退税的政策规定及操作方法、内部分包政策的合规把控、外部分包的增值税处理及行业监管协调、建筑服务简易计税政策规定、建筑企业混合销售的特殊规定、不同施工模式下的税务处理、“三流一致”的基本规定、、挂靠行为的虚开风险规避、跨区域经营的增值税、企业所得税管理规定等内容。</w:t>
      </w:r>
    </w:p>
    <w:p>
      <w:pPr>
        <w:widowControl/>
        <w:spacing w:line="520" w:lineRule="exact"/>
        <w:ind w:firstLine="551" w:firstLineChars="196"/>
        <w:jc w:val="left"/>
        <w:rPr>
          <w:rFonts w:hint="eastAsia" w:ascii="仿宋" w:hAnsi="仿宋" w:eastAsia="仿宋"/>
          <w:sz w:val="28"/>
          <w:szCs w:val="28"/>
        </w:rPr>
      </w:pPr>
      <w:r>
        <w:rPr>
          <w:rFonts w:hint="eastAsia" w:ascii="仿宋" w:hAnsi="仿宋" w:eastAsia="仿宋"/>
          <w:b/>
          <w:bCs/>
          <w:sz w:val="28"/>
          <w:szCs w:val="28"/>
        </w:rPr>
        <w:t>《金四来临，企业主、财税人必备：企业税务风险报告与应对技巧》</w:t>
      </w:r>
      <w:r>
        <w:rPr>
          <w:rFonts w:hint="eastAsia" w:ascii="仿宋" w:hAnsi="仿宋" w:eastAsia="仿宋"/>
          <w:sz w:val="28"/>
          <w:szCs w:val="28"/>
        </w:rPr>
        <w:t>：数字化时代下企业面对的国家趋势及风向布局、国家税收征管数字化升级和智能化改造、金税四期来临，智能化税务监管聚焦变化要点、电子发票操作应对核心要点、“公转私”涉税风险防范及应对核心技巧、2021年稽查热点关注行业及自查清单、企业税务风险预警报告及经典税收筹划案例分享等。</w:t>
      </w:r>
    </w:p>
    <w:p>
      <w:pPr>
        <w:widowControl/>
        <w:spacing w:line="520" w:lineRule="exact"/>
        <w:ind w:firstLine="551" w:firstLineChars="196"/>
        <w:jc w:val="left"/>
        <w:rPr>
          <w:rFonts w:hint="eastAsia" w:ascii="仿宋" w:hAnsi="仿宋" w:eastAsia="仿宋"/>
          <w:sz w:val="28"/>
          <w:szCs w:val="28"/>
        </w:rPr>
      </w:pPr>
      <w:r>
        <w:rPr>
          <w:rFonts w:hint="eastAsia" w:ascii="仿宋" w:hAnsi="仿宋" w:eastAsia="仿宋"/>
          <w:b/>
          <w:sz w:val="28"/>
          <w:szCs w:val="28"/>
        </w:rPr>
        <w:t>《新时代下的企业金融服务》：</w:t>
      </w:r>
      <w:r>
        <w:rPr>
          <w:rFonts w:hint="eastAsia" w:ascii="仿宋" w:hAnsi="仿宋" w:eastAsia="仿宋"/>
          <w:sz w:val="28"/>
          <w:szCs w:val="28"/>
        </w:rPr>
        <w:t>企业信用体系建设、企业融资所面临的困难分析、金融服务产品政策解读、绿色节能领域及科技创新型、中小服务企业金融信贷服务讲解、银行相关优惠政策及操作流程等。</w:t>
      </w:r>
    </w:p>
    <w:p>
      <w:pPr>
        <w:widowControl/>
        <w:spacing w:line="520" w:lineRule="exact"/>
        <w:jc w:val="left"/>
        <w:rPr>
          <w:rFonts w:hint="eastAsia" w:ascii="仿宋" w:hAnsi="仿宋" w:eastAsia="仿宋"/>
          <w:sz w:val="28"/>
          <w:szCs w:val="28"/>
        </w:rPr>
      </w:pPr>
    </w:p>
    <w:p>
      <w:pPr>
        <w:widowControl/>
        <w:spacing w:line="520" w:lineRule="exact"/>
        <w:jc w:val="left"/>
        <w:rPr>
          <w:rFonts w:hint="eastAsia" w:ascii="仿宋" w:hAnsi="仿宋" w:eastAsia="仿宋"/>
          <w:sz w:val="28"/>
          <w:szCs w:val="28"/>
        </w:rPr>
      </w:pPr>
    </w:p>
    <w:p>
      <w:pPr>
        <w:widowControl/>
        <w:spacing w:line="520" w:lineRule="exact"/>
        <w:jc w:val="left"/>
        <w:rPr>
          <w:rFonts w:hint="eastAsia" w:ascii="仿宋" w:hAnsi="仿宋" w:eastAsia="仿宋"/>
          <w:sz w:val="28"/>
          <w:szCs w:val="28"/>
        </w:rPr>
      </w:pPr>
    </w:p>
    <w:p>
      <w:pPr>
        <w:widowControl/>
        <w:spacing w:line="520" w:lineRule="exact"/>
        <w:jc w:val="left"/>
        <w:rPr>
          <w:rFonts w:hint="eastAsia" w:ascii="仿宋" w:hAnsi="仿宋" w:eastAsia="仿宋"/>
          <w:sz w:val="28"/>
          <w:szCs w:val="28"/>
        </w:rPr>
      </w:pPr>
    </w:p>
    <w:p>
      <w:pPr>
        <w:widowControl/>
        <w:spacing w:line="520" w:lineRule="exact"/>
        <w:jc w:val="left"/>
        <w:rPr>
          <w:rFonts w:hint="eastAsia" w:ascii="仿宋" w:hAnsi="仿宋" w:eastAsia="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7323D"/>
    <w:multiLevelType w:val="multilevel"/>
    <w:tmpl w:val="6D77323D"/>
    <w:lvl w:ilvl="0" w:tentative="0">
      <w:start w:val="3"/>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86340"/>
    <w:rsid w:val="5F386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普通(网站)1"/>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2021-07-14T09:24:00Z</dcterms:created>
  <dc:creator>Yukiiiiii~</dc:creator>
  <cp:lastModifiedBy>Yukiiiiii~</cp:lastModifiedBy>
  <dcterms:modified xsi:type="dcterms:W3CDTF">2021-07-14T09:25:52Z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